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47CD7795" wp14:editId="30717901">
            <wp:simplePos x="0" y="0"/>
            <wp:positionH relativeFrom="column">
              <wp:posOffset>2443480</wp:posOffset>
            </wp:positionH>
            <wp:positionV relativeFrom="paragraph">
              <wp:posOffset>-614046</wp:posOffset>
            </wp:positionV>
            <wp:extent cx="3438525" cy="3438525"/>
            <wp:effectExtent l="0" t="0" r="9525" b="9525"/>
            <wp:wrapNone/>
            <wp:docPr id="1" name="Bilde 1" descr="http://marcosmucheroni.pro.br/blog/wp-content/uploads/2011/07/Inform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cosmucheroni.pro.br/blog/wp-content/uploads/2011/07/Inform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b/>
          <w:bCs/>
          <w:spacing w:val="-16"/>
        </w:rPr>
      </w:pPr>
    </w:p>
    <w:p w:rsidR="008030CD" w:rsidRP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rFonts w:cs="Aparajita"/>
          <w:b/>
          <w:bCs/>
          <w:spacing w:val="-16"/>
          <w:sz w:val="28"/>
          <w:szCs w:val="28"/>
        </w:rPr>
      </w:pPr>
      <w:r w:rsidRPr="008030CD">
        <w:rPr>
          <w:rStyle w:val="CharacterStyle1"/>
          <w:rFonts w:cs="Aparajita"/>
          <w:b/>
          <w:bCs/>
          <w:spacing w:val="-16"/>
          <w:sz w:val="28"/>
          <w:szCs w:val="28"/>
        </w:rPr>
        <w:t xml:space="preserve">ORIENTERING OM INNSYNSRETT OG OVERFØRING AV JOURNAL VED FLYTTING. </w:t>
      </w:r>
    </w:p>
    <w:p w:rsidR="008030CD" w:rsidRP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rFonts w:cs="Aparajita"/>
          <w:sz w:val="24"/>
          <w:szCs w:val="24"/>
        </w:rPr>
      </w:pPr>
      <w:r w:rsidRPr="008030CD">
        <w:rPr>
          <w:rStyle w:val="CharacterStyle1"/>
          <w:rFonts w:cs="Aparajita"/>
          <w:sz w:val="24"/>
          <w:szCs w:val="24"/>
        </w:rPr>
        <w:t>Helsestasjons- og skolehelsetjenesten har etter loven plikt til å føre journal med helseopplysninger om sine brukere. I journalen skal helsepersonellet nedtegne de opplysninger som de ut fra en faglig vurdering finner nødvendig og hensiktsmessig å dokumentere. Journalen skal bidra til at barnet/eleven får en faglig forsvarlig oppfølging. Så lenge det er naturlig, er det de foresatte som ivaretar barnets rettigheter som bruker av helsestasjons- og skolehelsetjenesten.</w:t>
      </w:r>
    </w:p>
    <w:p w:rsidR="008030CD" w:rsidRP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rFonts w:cs="Aparajita"/>
          <w:b/>
          <w:sz w:val="24"/>
          <w:szCs w:val="24"/>
        </w:rPr>
      </w:pPr>
    </w:p>
    <w:p w:rsidR="008030CD" w:rsidRPr="008030CD" w:rsidRDefault="008030CD" w:rsidP="008030CD">
      <w:pPr>
        <w:pStyle w:val="Style1"/>
        <w:widowControl w:val="0"/>
        <w:adjustRightInd/>
        <w:spacing w:before="36"/>
        <w:rPr>
          <w:rStyle w:val="CharacterStyle1"/>
          <w:rFonts w:cs="Aparajita"/>
          <w:b/>
          <w:sz w:val="28"/>
          <w:szCs w:val="28"/>
        </w:rPr>
      </w:pPr>
      <w:r w:rsidRPr="008030CD">
        <w:rPr>
          <w:rStyle w:val="CharacterStyle1"/>
          <w:rFonts w:cs="Aparajita"/>
          <w:b/>
          <w:sz w:val="28"/>
          <w:szCs w:val="28"/>
        </w:rPr>
        <w:t>INNSYNSRETT.</w:t>
      </w:r>
    </w:p>
    <w:p w:rsidR="008030CD" w:rsidRPr="008030CD" w:rsidRDefault="008030CD" w:rsidP="008030CD">
      <w:pPr>
        <w:pStyle w:val="Style1"/>
        <w:widowControl w:val="0"/>
        <w:adjustRightInd/>
        <w:rPr>
          <w:rStyle w:val="CharacterStyle1"/>
          <w:rFonts w:cs="Aparajita"/>
          <w:sz w:val="24"/>
          <w:szCs w:val="24"/>
        </w:rPr>
      </w:pPr>
      <w:r w:rsidRPr="008030CD">
        <w:rPr>
          <w:rStyle w:val="CharacterStyle1"/>
          <w:rFonts w:cs="Aparajita"/>
          <w:sz w:val="24"/>
          <w:szCs w:val="24"/>
        </w:rPr>
        <w:t>De foresatte eller eleven har som hovedregel rett til innsyn i samtlige opplysninger som omhandler barnet/eleven. De har også rett til kopi av disse opplysningene. Ved kopi av journalnotater betales et vederlag fastsatt av Sosial- og helsedepartementet.</w:t>
      </w:r>
    </w:p>
    <w:p w:rsidR="008030CD" w:rsidRPr="008030CD" w:rsidRDefault="008030CD" w:rsidP="008030CD">
      <w:pPr>
        <w:pStyle w:val="Style1"/>
        <w:widowControl w:val="0"/>
        <w:adjustRightInd/>
        <w:rPr>
          <w:rStyle w:val="CharacterStyle1"/>
          <w:rFonts w:cs="Aparajita"/>
          <w:sz w:val="28"/>
          <w:szCs w:val="28"/>
        </w:rPr>
      </w:pPr>
    </w:p>
    <w:p w:rsidR="008030CD" w:rsidRPr="008030CD" w:rsidRDefault="008030CD" w:rsidP="008030CD">
      <w:pPr>
        <w:pStyle w:val="Style1"/>
        <w:widowControl w:val="0"/>
        <w:adjustRightInd/>
        <w:rPr>
          <w:rStyle w:val="CharacterStyle1"/>
          <w:rFonts w:cs="Aparajita"/>
          <w:b/>
          <w:bCs/>
          <w:spacing w:val="-19"/>
          <w:sz w:val="28"/>
          <w:szCs w:val="28"/>
        </w:rPr>
      </w:pPr>
      <w:r w:rsidRPr="008030CD">
        <w:rPr>
          <w:rStyle w:val="CharacterStyle1"/>
          <w:rFonts w:cs="Aparajita"/>
          <w:b/>
          <w:bCs/>
          <w:spacing w:val="-19"/>
          <w:sz w:val="28"/>
          <w:szCs w:val="28"/>
        </w:rPr>
        <w:t>OVERFØRING AV JOURNAL VED FLYTTING/SKOLESTART/BYTTE AV SKOLE.</w:t>
      </w:r>
    </w:p>
    <w:p w:rsidR="008030CD" w:rsidRPr="008030CD" w:rsidRDefault="008030CD" w:rsidP="008030CD">
      <w:pPr>
        <w:pStyle w:val="Style1"/>
        <w:widowControl w:val="0"/>
        <w:adjustRightInd/>
        <w:rPr>
          <w:rStyle w:val="CharacterStyle1"/>
          <w:rFonts w:cs="Aparajita"/>
          <w:sz w:val="24"/>
          <w:szCs w:val="24"/>
        </w:rPr>
      </w:pPr>
      <w:r w:rsidRPr="008030CD">
        <w:rPr>
          <w:rStyle w:val="CharacterStyle1"/>
          <w:rFonts w:cs="Aparajita"/>
          <w:sz w:val="24"/>
          <w:szCs w:val="24"/>
        </w:rPr>
        <w:t xml:space="preserve">Når en elev/et barn flytter, er hovedregelen at journalen skal overføres til den nye helsestasjonen eller skolehelsetjenesten. Dette skal sikre en faglig forsvarlig </w:t>
      </w:r>
      <w:r w:rsidRPr="008030CD">
        <w:rPr>
          <w:rStyle w:val="CharacterStyle1"/>
          <w:rFonts w:cs="Aparajita"/>
          <w:spacing w:val="3"/>
          <w:sz w:val="24"/>
          <w:szCs w:val="24"/>
        </w:rPr>
        <w:t xml:space="preserve">oppfølging. De som har spørsmål i forbindelse med oversendelse av journal, </w:t>
      </w:r>
      <w:r w:rsidRPr="008030CD">
        <w:rPr>
          <w:rStyle w:val="CharacterStyle1"/>
          <w:rFonts w:cs="Aparajita"/>
          <w:sz w:val="24"/>
          <w:szCs w:val="24"/>
        </w:rPr>
        <w:t>kan ta dette opp med helsestasjonen eller skolehelsetjenesten før flytting.</w:t>
      </w:r>
    </w:p>
    <w:p w:rsidR="008030CD" w:rsidRPr="008030CD" w:rsidRDefault="008030CD" w:rsidP="008030CD">
      <w:pPr>
        <w:pStyle w:val="Style1"/>
        <w:widowControl w:val="0"/>
        <w:adjustRightInd/>
        <w:rPr>
          <w:rStyle w:val="CharacterStyle1"/>
          <w:rFonts w:cs="Aparajita"/>
          <w:sz w:val="28"/>
          <w:szCs w:val="28"/>
        </w:rPr>
      </w:pPr>
    </w:p>
    <w:p w:rsidR="008030CD" w:rsidRPr="008030CD" w:rsidRDefault="008030CD" w:rsidP="008030CD">
      <w:pPr>
        <w:pStyle w:val="Style1"/>
        <w:widowControl w:val="0"/>
        <w:adjustRightInd/>
        <w:rPr>
          <w:rStyle w:val="CharacterStyle1"/>
          <w:rFonts w:cs="Aparajita"/>
          <w:b/>
          <w:bCs/>
          <w:spacing w:val="-19"/>
          <w:sz w:val="28"/>
          <w:szCs w:val="28"/>
        </w:rPr>
      </w:pPr>
      <w:r w:rsidRPr="008030CD">
        <w:rPr>
          <w:rStyle w:val="CharacterStyle1"/>
          <w:rFonts w:cs="Aparajita"/>
          <w:b/>
          <w:bCs/>
          <w:spacing w:val="-19"/>
          <w:sz w:val="28"/>
          <w:szCs w:val="28"/>
        </w:rPr>
        <w:t>SYSVAK.</w:t>
      </w:r>
    </w:p>
    <w:p w:rsidR="008030CD" w:rsidRDefault="008030CD" w:rsidP="008030CD">
      <w:pPr>
        <w:pStyle w:val="Style1"/>
        <w:widowControl w:val="0"/>
        <w:adjustRightInd/>
        <w:ind w:right="360"/>
        <w:rPr>
          <w:rStyle w:val="CharacterStyle1"/>
          <w:rFonts w:cs="Aparajita"/>
          <w:spacing w:val="-20"/>
          <w:sz w:val="24"/>
          <w:szCs w:val="24"/>
        </w:rPr>
      </w:pPr>
      <w:r w:rsidRPr="008030CD">
        <w:rPr>
          <w:rStyle w:val="CharacterStyle1"/>
          <w:rFonts w:cs="Aparajita"/>
          <w:spacing w:val="-3"/>
          <w:sz w:val="24"/>
          <w:szCs w:val="24"/>
        </w:rPr>
        <w:t xml:space="preserve">Alle vaksiner som blir satt, registreres elektronisk i et sentralt register. Alle </w:t>
      </w:r>
      <w:r w:rsidRPr="008030CD">
        <w:rPr>
          <w:rStyle w:val="CharacterStyle1"/>
          <w:rFonts w:cs="Aparajita"/>
          <w:sz w:val="24"/>
          <w:szCs w:val="24"/>
        </w:rPr>
        <w:t xml:space="preserve">helsestasjoner i landet kan hente opplysninger om registrerte vaksiner på et aktuelt barn ut fra dette registeret. Utskrift av vaksinekort gis ved utgang av </w:t>
      </w:r>
      <w:r w:rsidRPr="008030CD">
        <w:rPr>
          <w:rStyle w:val="CharacterStyle1"/>
          <w:rFonts w:cs="Aparajita"/>
          <w:spacing w:val="-20"/>
          <w:sz w:val="24"/>
          <w:szCs w:val="24"/>
        </w:rPr>
        <w:t>10. kl.</w:t>
      </w:r>
    </w:p>
    <w:p w:rsidR="008030CD" w:rsidRPr="008030CD" w:rsidRDefault="008030CD" w:rsidP="008030CD">
      <w:pPr>
        <w:pStyle w:val="Style1"/>
        <w:widowControl w:val="0"/>
        <w:adjustRightInd/>
        <w:ind w:right="360"/>
        <w:rPr>
          <w:rStyle w:val="CharacterStyle1"/>
          <w:rFonts w:cs="Aparajita"/>
          <w:spacing w:val="-20"/>
          <w:sz w:val="24"/>
          <w:szCs w:val="24"/>
        </w:rPr>
      </w:pPr>
      <w:r>
        <w:rPr>
          <w:rStyle w:val="CharacterStyle1"/>
          <w:rFonts w:cs="Aparajita"/>
          <w:spacing w:val="-20"/>
          <w:sz w:val="24"/>
          <w:szCs w:val="24"/>
        </w:rPr>
        <w:tab/>
      </w:r>
      <w:r>
        <w:rPr>
          <w:rStyle w:val="CharacterStyle1"/>
          <w:rFonts w:cs="Aparajita"/>
          <w:spacing w:val="-20"/>
          <w:sz w:val="24"/>
          <w:szCs w:val="24"/>
        </w:rPr>
        <w:tab/>
      </w:r>
      <w:r>
        <w:rPr>
          <w:rStyle w:val="CharacterStyle1"/>
          <w:rFonts w:cs="Aparajita"/>
          <w:spacing w:val="-20"/>
          <w:sz w:val="24"/>
          <w:szCs w:val="24"/>
        </w:rPr>
        <w:tab/>
      </w:r>
      <w:r>
        <w:rPr>
          <w:rStyle w:val="CharacterStyle1"/>
          <w:rFonts w:cs="Aparajita"/>
          <w:spacing w:val="-20"/>
          <w:sz w:val="24"/>
          <w:szCs w:val="24"/>
        </w:rPr>
        <w:tab/>
      </w:r>
      <w:r>
        <w:rPr>
          <w:rStyle w:val="CharacterStyle1"/>
          <w:rFonts w:cs="Aparajita"/>
          <w:spacing w:val="-20"/>
          <w:sz w:val="24"/>
          <w:szCs w:val="24"/>
        </w:rPr>
        <w:tab/>
      </w:r>
      <w:r>
        <w:rPr>
          <w:rStyle w:val="CharacterStyle1"/>
          <w:rFonts w:cs="Aparajita"/>
          <w:spacing w:val="-20"/>
          <w:sz w:val="24"/>
          <w:szCs w:val="24"/>
        </w:rPr>
        <w:tab/>
      </w:r>
      <w:r>
        <w:rPr>
          <w:rStyle w:val="CharacterStyle1"/>
          <w:rFonts w:cs="Aparajita"/>
          <w:spacing w:val="-20"/>
          <w:sz w:val="24"/>
          <w:szCs w:val="24"/>
        </w:rPr>
        <w:tab/>
      </w:r>
      <w:r>
        <w:rPr>
          <w:rStyle w:val="CharacterStyle1"/>
          <w:rFonts w:cs="Aparajita"/>
          <w:spacing w:val="-20"/>
          <w:sz w:val="24"/>
          <w:szCs w:val="24"/>
        </w:rPr>
        <w:tab/>
        <w:t xml:space="preserve"> </w:t>
      </w:r>
      <w:r>
        <w:rPr>
          <w:rStyle w:val="CharacterStyle1"/>
          <w:rFonts w:cs="Aparajita"/>
          <w:spacing w:val="-20"/>
          <w:sz w:val="24"/>
          <w:szCs w:val="24"/>
        </w:rPr>
        <w:tab/>
        <w:t xml:space="preserve">     </w:t>
      </w:r>
      <w:r>
        <w:rPr>
          <w:rStyle w:val="CharacterStyle1"/>
          <w:rFonts w:cs="Aparajita"/>
          <w:color w:val="808080" w:themeColor="background1" w:themeShade="80"/>
          <w:spacing w:val="-20"/>
          <w:sz w:val="20"/>
          <w:szCs w:val="20"/>
        </w:rPr>
        <w:t>Redigert 04.02.15</w:t>
      </w:r>
    </w:p>
    <w:sectPr w:rsidR="008030CD" w:rsidRPr="0080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CD"/>
    <w:rsid w:val="0064095B"/>
    <w:rsid w:val="006B2340"/>
    <w:rsid w:val="008030CD"/>
    <w:rsid w:val="009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1">
    <w:name w:val="Style 1"/>
    <w:uiPriority w:val="99"/>
    <w:rsid w:val="008030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8030CD"/>
    <w:rPr>
      <w:rFonts w:ascii="Verdana" w:hAnsi="Verdana" w:cs="Verdana"/>
      <w:sz w:val="22"/>
      <w:szCs w:val="22"/>
    </w:rPr>
  </w:style>
  <w:style w:type="paragraph" w:customStyle="1" w:styleId="Style2">
    <w:name w:val="Style 2"/>
    <w:uiPriority w:val="99"/>
    <w:rsid w:val="008030CD"/>
    <w:pPr>
      <w:widowControl w:val="0"/>
      <w:autoSpaceDE w:val="0"/>
      <w:autoSpaceDN w:val="0"/>
      <w:spacing w:before="576" w:after="0" w:line="268" w:lineRule="auto"/>
    </w:pPr>
    <w:rPr>
      <w:rFonts w:ascii="Verdana" w:hAnsi="Verdana" w:cs="Verdan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3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1">
    <w:name w:val="Style 1"/>
    <w:uiPriority w:val="99"/>
    <w:rsid w:val="008030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8030CD"/>
    <w:rPr>
      <w:rFonts w:ascii="Verdana" w:hAnsi="Verdana" w:cs="Verdana"/>
      <w:sz w:val="22"/>
      <w:szCs w:val="22"/>
    </w:rPr>
  </w:style>
  <w:style w:type="paragraph" w:customStyle="1" w:styleId="Style2">
    <w:name w:val="Style 2"/>
    <w:uiPriority w:val="99"/>
    <w:rsid w:val="008030CD"/>
    <w:pPr>
      <w:widowControl w:val="0"/>
      <w:autoSpaceDE w:val="0"/>
      <w:autoSpaceDN w:val="0"/>
      <w:spacing w:before="576" w:after="0" w:line="268" w:lineRule="auto"/>
    </w:pPr>
    <w:rPr>
      <w:rFonts w:ascii="Verdana" w:hAnsi="Verdana" w:cs="Verdan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Karlsen Bratlie</dc:creator>
  <cp:lastModifiedBy>Anne Kopperud</cp:lastModifiedBy>
  <cp:revision>2</cp:revision>
  <dcterms:created xsi:type="dcterms:W3CDTF">2018-01-16T13:54:00Z</dcterms:created>
  <dcterms:modified xsi:type="dcterms:W3CDTF">2018-01-16T13:54:00Z</dcterms:modified>
</cp:coreProperties>
</file>